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102FB">
      <w:pPr>
        <w:keepNext w:val="0"/>
        <w:keepLines w:val="0"/>
        <w:pageBreakBefore w:val="0"/>
        <w:shd w:val="clear"/>
        <w:kinsoku/>
        <w:wordWrap/>
        <w:overflowPunct/>
        <w:topLinePunct w:val="0"/>
        <w:autoSpaceDE/>
        <w:autoSpaceDN/>
        <w:bidi w:val="0"/>
        <w:adjustRightInd/>
        <w:spacing w:line="560" w:lineRule="exact"/>
        <w:rPr>
          <w:rFonts w:hint="default" w:ascii="Times New Roman" w:hAnsi="Times New Roman" w:eastAsia="方正黑体简体" w:cs="Times New Roman"/>
          <w:b/>
          <w:bCs/>
          <w:color w:val="000000"/>
          <w:sz w:val="32"/>
          <w:szCs w:val="32"/>
        </w:rPr>
      </w:pPr>
      <w:r>
        <w:rPr>
          <w:rFonts w:hint="default" w:ascii="Times New Roman" w:hAnsi="Times New Roman" w:eastAsia="方正黑体简体" w:cs="Times New Roman"/>
          <w:b/>
          <w:bCs/>
          <w:color w:val="000000"/>
          <w:sz w:val="32"/>
          <w:szCs w:val="32"/>
        </w:rPr>
        <w:t>附件2</w:t>
      </w:r>
    </w:p>
    <w:p w14:paraId="3530166F">
      <w:pPr>
        <w:keepNext w:val="0"/>
        <w:keepLines w:val="0"/>
        <w:pageBreakBefore w:val="0"/>
        <w:shd w:val="clear"/>
        <w:kinsoku/>
        <w:wordWrap/>
        <w:overflowPunct/>
        <w:topLinePunct w:val="0"/>
        <w:autoSpaceDE/>
        <w:autoSpaceDN/>
        <w:bidi w:val="0"/>
        <w:adjustRightInd/>
        <w:spacing w:line="560" w:lineRule="exact"/>
        <w:jc w:val="center"/>
        <w:rPr>
          <w:rFonts w:hint="default" w:ascii="Times New Roman" w:hAnsi="Times New Roman" w:eastAsia="方正小标宋简体" w:cs="Times New Roman"/>
          <w:b/>
          <w:bCs/>
          <w:color w:val="000000"/>
          <w:sz w:val="36"/>
          <w:szCs w:val="36"/>
        </w:rPr>
      </w:pPr>
      <w:r>
        <w:rPr>
          <w:rFonts w:hint="default" w:ascii="Times New Roman" w:hAnsi="Times New Roman" w:eastAsia="方正小标宋简体" w:cs="Times New Roman"/>
          <w:b/>
          <w:bCs/>
          <w:color w:val="000000"/>
          <w:sz w:val="36"/>
          <w:szCs w:val="36"/>
        </w:rPr>
        <w:t>济宁市不予实施行政强制措施事项清单（</w:t>
      </w:r>
      <w:r>
        <w:rPr>
          <w:rFonts w:hint="eastAsia" w:ascii="Times New Roman" w:hAnsi="Times New Roman" w:eastAsia="方正小标宋简体" w:cs="Times New Roman"/>
          <w:b/>
          <w:bCs/>
          <w:color w:val="000000"/>
          <w:sz w:val="36"/>
          <w:szCs w:val="36"/>
          <w:lang w:val="en-US" w:eastAsia="zh-CN"/>
        </w:rPr>
        <w:t>2025年版</w:t>
      </w:r>
      <w:r>
        <w:rPr>
          <w:rFonts w:hint="default" w:ascii="Times New Roman" w:hAnsi="Times New Roman" w:eastAsia="方正小标宋简体" w:cs="Times New Roman"/>
          <w:b/>
          <w:bCs/>
          <w:color w:val="000000"/>
          <w:sz w:val="36"/>
          <w:szCs w:val="36"/>
        </w:rPr>
        <w:t>）</w:t>
      </w:r>
    </w:p>
    <w:tbl>
      <w:tblPr>
        <w:tblStyle w:val="9"/>
        <w:tblpPr w:leftFromText="180" w:rightFromText="180" w:vertAnchor="text" w:horzAnchor="page" w:tblpX="1558" w:tblpY="202"/>
        <w:tblOverlap w:val="never"/>
        <w:tblW w:w="14106" w:type="dxa"/>
        <w:tblInd w:w="0" w:type="dxa"/>
        <w:shd w:val="clear" w:color="auto" w:fill="auto"/>
        <w:tblLayout w:type="fixed"/>
        <w:tblCellMar>
          <w:top w:w="0" w:type="dxa"/>
          <w:left w:w="108" w:type="dxa"/>
          <w:bottom w:w="0" w:type="dxa"/>
          <w:right w:w="108" w:type="dxa"/>
        </w:tblCellMar>
      </w:tblPr>
      <w:tblGrid>
        <w:gridCol w:w="987"/>
        <w:gridCol w:w="2935"/>
        <w:gridCol w:w="4110"/>
        <w:gridCol w:w="6074"/>
      </w:tblGrid>
      <w:tr w14:paraId="0E098F81">
        <w:tblPrEx>
          <w:tblCellMar>
            <w:top w:w="0" w:type="dxa"/>
            <w:left w:w="108" w:type="dxa"/>
            <w:bottom w:w="0" w:type="dxa"/>
            <w:right w:w="108" w:type="dxa"/>
          </w:tblCellMar>
        </w:tblPrEx>
        <w:trPr>
          <w:trHeight w:val="640"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3D9">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36"/>
                <w:szCs w:val="36"/>
              </w:rPr>
            </w:pPr>
            <w:r>
              <w:rPr>
                <w:rFonts w:hint="eastAsia" w:eastAsia="方正黑体简体" w:cs="Times New Roman"/>
                <w:b/>
                <w:bCs/>
                <w:color w:val="000000"/>
                <w:sz w:val="28"/>
                <w:szCs w:val="28"/>
                <w:lang w:val="en-US" w:eastAsia="zh-CN" w:bidi="ar"/>
              </w:rPr>
              <w:t>1.</w:t>
            </w:r>
            <w:r>
              <w:rPr>
                <w:rFonts w:hint="default" w:ascii="Times New Roman" w:hAnsi="Times New Roman" w:eastAsia="方正黑体简体" w:cs="Times New Roman"/>
                <w:b/>
                <w:bCs/>
                <w:color w:val="000000"/>
                <w:sz w:val="28"/>
                <w:szCs w:val="28"/>
                <w:lang w:bidi="ar"/>
              </w:rPr>
              <w:t>济宁市自然资源和规划局</w:t>
            </w:r>
          </w:p>
        </w:tc>
      </w:tr>
      <w:tr w14:paraId="71819ECB">
        <w:tblPrEx>
          <w:tblCellMar>
            <w:top w:w="0" w:type="dxa"/>
            <w:left w:w="108" w:type="dxa"/>
            <w:bottom w:w="0" w:type="dxa"/>
            <w:right w:w="108" w:type="dxa"/>
          </w:tblCellMar>
        </w:tblPrEx>
        <w:trPr>
          <w:trHeight w:val="34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5840E">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eastAsia="方正黑体简体" w:cs="Times New Roman"/>
                <w:b/>
                <w:bCs/>
                <w:color w:val="000000"/>
                <w:sz w:val="22"/>
                <w:szCs w:val="22"/>
                <w:lang w:bidi="ar"/>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675BA">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eastAsia="方正黑体简体" w:cs="Times New Roman"/>
                <w:b/>
                <w:bCs/>
                <w:color w:val="000000"/>
                <w:sz w:val="22"/>
                <w:szCs w:val="22"/>
                <w:lang w:bidi="ar"/>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C0BE">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eastAsia="方正黑体简体" w:cs="Times New Roman"/>
                <w:b/>
                <w:bCs/>
                <w:color w:val="000000"/>
                <w:sz w:val="22"/>
                <w:szCs w:val="22"/>
                <w:lang w:bidi="ar"/>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92881">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eastAsia="方正黑体简体" w:cs="Times New Roman"/>
                <w:b/>
                <w:bCs/>
                <w:color w:val="000000"/>
                <w:sz w:val="22"/>
                <w:szCs w:val="22"/>
                <w:lang w:bidi="ar"/>
              </w:rPr>
              <w:t>法定依据</w:t>
            </w:r>
          </w:p>
        </w:tc>
      </w:tr>
      <w:tr w14:paraId="45F1C845">
        <w:tblPrEx>
          <w:tblCellMar>
            <w:top w:w="0" w:type="dxa"/>
            <w:left w:w="108" w:type="dxa"/>
            <w:bottom w:w="0" w:type="dxa"/>
            <w:right w:w="108" w:type="dxa"/>
          </w:tblCellMar>
        </w:tblPrEx>
        <w:trPr>
          <w:trHeight w:val="2729"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FCE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9148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查封、扣押与涉嫌违法测绘行为直接相关的设备、工具、原材料、测绘成果资料等</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2BC9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1.违法情节轻微或者没有明显社会危害的；</w:t>
            </w:r>
          </w:p>
          <w:p w14:paraId="1B0CEDF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2.首次违法或没有造成危害后果的；</w:t>
            </w:r>
          </w:p>
          <w:p w14:paraId="42051B8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3.及时纠正违法行为并及时主动上缴有关测绘成果资料及相关原材料；</w:t>
            </w:r>
          </w:p>
          <w:p w14:paraId="7ADF34A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4.主动提供与违法行为相关的证据材料</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3940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1.《中华人民共和国行政强制法》（2011年6月通过）第十六条；</w:t>
            </w:r>
          </w:p>
          <w:p w14:paraId="6C8CA1F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2.《中华人民共和国测绘法》（1992年12月通过，2017年4月修订）第四十九条；</w:t>
            </w:r>
          </w:p>
          <w:p w14:paraId="108DFEC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3.《优化营商环境条例》（2019年10月国务院令第722号）第五十九条</w:t>
            </w:r>
          </w:p>
        </w:tc>
      </w:tr>
      <w:tr w14:paraId="613DBB39">
        <w:tblPrEx>
          <w:tblCellMar>
            <w:top w:w="0" w:type="dxa"/>
            <w:left w:w="108" w:type="dxa"/>
            <w:bottom w:w="0" w:type="dxa"/>
            <w:right w:w="108" w:type="dxa"/>
          </w:tblCellMar>
        </w:tblPrEx>
        <w:trPr>
          <w:trHeight w:val="3057"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111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5711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查封、扣押涉嫌违法的地图、附着地图图形的产品以及用于实施地图违法行为的设备、工具、原材料等</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C377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1.违法情节轻微或者没有明显社会危害的；</w:t>
            </w:r>
          </w:p>
          <w:p w14:paraId="3B922BB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2.首次违法或没有造成危害后果的；</w:t>
            </w:r>
          </w:p>
          <w:p w14:paraId="2067073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3.及时纠正违法行为并及时主动上缴有关地图、附着地图图形的产品及相关原材料；</w:t>
            </w:r>
          </w:p>
          <w:p w14:paraId="788C3E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4.主动提供与违法行为相关的证据材料</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4355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1.《中华人民共和国行政强制法》（2011年6月通过）第十六条；</w:t>
            </w:r>
          </w:p>
          <w:p w14:paraId="1B19021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2.《地图管理条例》（2015年11月国务院令第664号）第四十三条；</w:t>
            </w:r>
          </w:p>
          <w:p w14:paraId="59C3F1A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3.《优化营商环境条例》（2019年10月国务院令第722号）第五十九条</w:t>
            </w:r>
          </w:p>
        </w:tc>
      </w:tr>
      <w:tr w14:paraId="1F092D5A">
        <w:tblPrEx>
          <w:tblCellMar>
            <w:top w:w="0" w:type="dxa"/>
            <w:left w:w="108" w:type="dxa"/>
            <w:bottom w:w="0" w:type="dxa"/>
            <w:right w:w="108" w:type="dxa"/>
          </w:tblCellMar>
        </w:tblPrEx>
        <w:trPr>
          <w:trHeight w:val="791"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F559">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36"/>
                <w:szCs w:val="36"/>
              </w:rPr>
            </w:pPr>
            <w:r>
              <w:rPr>
                <w:rFonts w:hint="eastAsia" w:eastAsia="方正黑体简体" w:cs="Times New Roman"/>
                <w:b/>
                <w:bCs/>
                <w:color w:val="000000"/>
                <w:sz w:val="28"/>
                <w:szCs w:val="28"/>
                <w:lang w:val="en-US" w:eastAsia="zh-CN" w:bidi="ar"/>
              </w:rPr>
              <w:t>2.</w:t>
            </w:r>
            <w:r>
              <w:rPr>
                <w:rFonts w:hint="default" w:ascii="Times New Roman" w:hAnsi="Times New Roman" w:eastAsia="方正黑体简体" w:cs="Times New Roman"/>
                <w:b/>
                <w:bCs/>
                <w:color w:val="000000"/>
                <w:sz w:val="28"/>
                <w:szCs w:val="28"/>
                <w:lang w:bidi="ar"/>
              </w:rPr>
              <w:t>济宁市生态环境局</w:t>
            </w:r>
            <w:bookmarkStart w:id="0" w:name="_GoBack"/>
            <w:bookmarkEnd w:id="0"/>
          </w:p>
        </w:tc>
      </w:tr>
      <w:tr w14:paraId="59C5B921">
        <w:tblPrEx>
          <w:shd w:val="clear" w:color="auto" w:fill="auto"/>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F7616">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22B8">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72FCC">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F12CB">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法定依据</w:t>
            </w:r>
          </w:p>
        </w:tc>
      </w:tr>
      <w:tr w14:paraId="4449E62F">
        <w:tblPrEx>
          <w:tblCellMar>
            <w:top w:w="0" w:type="dxa"/>
            <w:left w:w="108" w:type="dxa"/>
            <w:bottom w:w="0" w:type="dxa"/>
            <w:right w:w="108" w:type="dxa"/>
          </w:tblCellMar>
        </w:tblPrEx>
        <w:trPr>
          <w:trHeight w:val="6957"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1F57">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5BF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对企业事业单位和其他生产经营者违反法律法规规定排放污染物，造成或者可能造成严重污染的查封、扣押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A80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1.可能但尚未造成严重污染；</w:t>
            </w:r>
          </w:p>
          <w:p w14:paraId="049485D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2.立即改正违法行为；</w:t>
            </w:r>
          </w:p>
          <w:p w14:paraId="1E76C4B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3.丧失查封扣押必要性</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8B24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1.《中华人民共和国环境保护法》（1989年12月26通过，2014年4月修订）第二十五条；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2.《中华人民共和国大气污染防治法》（1987年9月通过，2018年10月第二次修正）第三十条;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3.《中华人民共和国固体废物污染环境防治法》（1995年10月通过，2020年4月第二次修订）第二十七条;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4.《中华人民共和国土壤污染防治法》（2018年8月通过）第七十八条;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5.《中华人民共和国行政强制法》（2011年6月通过）第十六条</w:t>
            </w:r>
          </w:p>
        </w:tc>
      </w:tr>
      <w:tr w14:paraId="12CDF599">
        <w:tblPrEx>
          <w:tblCellMar>
            <w:top w:w="0" w:type="dxa"/>
            <w:left w:w="108" w:type="dxa"/>
            <w:bottom w:w="0" w:type="dxa"/>
            <w:right w:w="108" w:type="dxa"/>
          </w:tblCellMar>
        </w:tblPrEx>
        <w:trPr>
          <w:trHeight w:val="726"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2A0C">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36"/>
                <w:szCs w:val="36"/>
              </w:rPr>
            </w:pPr>
            <w:r>
              <w:rPr>
                <w:rFonts w:hint="eastAsia" w:eastAsia="方正黑体简体" w:cs="Times New Roman"/>
                <w:b/>
                <w:bCs/>
                <w:color w:val="000000"/>
                <w:sz w:val="28"/>
                <w:szCs w:val="28"/>
                <w:lang w:val="en-US" w:eastAsia="zh-CN" w:bidi="ar"/>
              </w:rPr>
              <w:t>3.</w:t>
            </w:r>
            <w:r>
              <w:rPr>
                <w:rFonts w:hint="default" w:ascii="Times New Roman" w:hAnsi="Times New Roman" w:eastAsia="方正黑体简体" w:cs="Times New Roman"/>
                <w:b/>
                <w:bCs/>
                <w:color w:val="000000"/>
                <w:sz w:val="28"/>
                <w:szCs w:val="28"/>
                <w:lang w:bidi="ar"/>
              </w:rPr>
              <w:t>济宁市住房</w:t>
            </w:r>
            <w:r>
              <w:rPr>
                <w:rFonts w:hint="default" w:ascii="Times New Roman" w:hAnsi="Times New Roman" w:eastAsia="方正黑体简体" w:cs="Times New Roman"/>
                <w:b/>
                <w:bCs/>
                <w:color w:val="000000"/>
                <w:sz w:val="28"/>
                <w:szCs w:val="28"/>
                <w:lang w:val="en-US" w:eastAsia="zh-CN" w:bidi="ar"/>
              </w:rPr>
              <w:t>和</w:t>
            </w:r>
            <w:r>
              <w:rPr>
                <w:rFonts w:hint="default" w:ascii="Times New Roman" w:hAnsi="Times New Roman" w:eastAsia="方正黑体简体" w:cs="Times New Roman"/>
                <w:b/>
                <w:bCs/>
                <w:color w:val="000000"/>
                <w:sz w:val="28"/>
                <w:szCs w:val="28"/>
                <w:lang w:bidi="ar"/>
              </w:rPr>
              <w:t>城乡建设局</w:t>
            </w:r>
          </w:p>
        </w:tc>
      </w:tr>
      <w:tr w14:paraId="22A22664">
        <w:tblPrEx>
          <w:tblCellMar>
            <w:top w:w="0" w:type="dxa"/>
            <w:left w:w="108" w:type="dxa"/>
            <w:bottom w:w="0" w:type="dxa"/>
            <w:right w:w="108" w:type="dxa"/>
          </w:tblCellMar>
        </w:tblPrEx>
        <w:trPr>
          <w:trHeight w:val="51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C6E05">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CBF9F">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AD7A9">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C2F68">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法定依据</w:t>
            </w:r>
          </w:p>
        </w:tc>
      </w:tr>
      <w:tr w14:paraId="03294B2A">
        <w:tblPrEx>
          <w:shd w:val="clear" w:color="auto" w:fill="auto"/>
          <w:tblCellMar>
            <w:top w:w="0" w:type="dxa"/>
            <w:left w:w="108" w:type="dxa"/>
            <w:bottom w:w="0" w:type="dxa"/>
            <w:right w:w="108" w:type="dxa"/>
          </w:tblCellMar>
        </w:tblPrEx>
        <w:trPr>
          <w:trHeight w:val="312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7513">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DE7C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对不符合保障安全生产的国家标准或者行业标准的设施、设备、器材的查封或者扣押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24FB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1.违法行为情节轻微或者社会危害较小；                                                                        2.采用非强制手段能够达到行政管理目；                                                               3.当事人主动改正或者及时中止违法行为、主动消除违法行为危害后果；                                                             4.法律法规规定的其他情形</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A645A">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1.《中华人民共和国安全生产法》</w:t>
            </w:r>
            <w:r>
              <w:rPr>
                <w:rFonts w:hint="eastAsia"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2002年6月通过</w:t>
            </w:r>
            <w:r>
              <w:rPr>
                <w:rFonts w:hint="default" w:ascii="Times New Roman" w:hAnsi="Times New Roman"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2014年8月31日修改</w:t>
            </w:r>
            <w:r>
              <w:rPr>
                <w:rFonts w:hint="eastAsia"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第六十二条；                                                             2.《中华人民共和国行政强制法》（2011年6月30日第十一届全国人民代表大会常务委员会第二十一次会议通过）第十六条、第四十二条</w:t>
            </w:r>
            <w:r>
              <w:rPr>
                <w:rFonts w:hint="default" w:ascii="Times New Roman" w:hAnsi="Times New Roman" w:eastAsia="方正仿宋简体" w:cs="Times New Roman"/>
                <w:b/>
                <w:bCs/>
                <w:color w:val="auto"/>
                <w:sz w:val="22"/>
                <w:szCs w:val="22"/>
                <w:highlight w:val="none"/>
                <w:lang w:eastAsia="zh-CN" w:bidi="ar"/>
              </w:rPr>
              <w:t>；</w:t>
            </w:r>
          </w:p>
          <w:p w14:paraId="040E87E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eastAsia="zh-CN" w:bidi="ar"/>
              </w:rPr>
            </w:pPr>
          </w:p>
        </w:tc>
      </w:tr>
      <w:tr w14:paraId="7F9A1D85">
        <w:tblPrEx>
          <w:shd w:val="clear" w:color="auto" w:fill="auto"/>
          <w:tblCellMar>
            <w:top w:w="0" w:type="dxa"/>
            <w:left w:w="108" w:type="dxa"/>
            <w:bottom w:w="0" w:type="dxa"/>
            <w:right w:w="108" w:type="dxa"/>
          </w:tblCellMar>
        </w:tblPrEx>
        <w:trPr>
          <w:trHeight w:val="665"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53F7">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36"/>
                <w:szCs w:val="36"/>
              </w:rPr>
            </w:pPr>
            <w:r>
              <w:rPr>
                <w:rFonts w:hint="eastAsia" w:eastAsia="方正黑体简体" w:cs="Times New Roman"/>
                <w:b/>
                <w:bCs/>
                <w:color w:val="000000"/>
                <w:sz w:val="28"/>
                <w:szCs w:val="28"/>
                <w:lang w:val="en-US" w:eastAsia="zh-CN" w:bidi="ar"/>
              </w:rPr>
              <w:t>4.</w:t>
            </w:r>
            <w:r>
              <w:rPr>
                <w:rFonts w:hint="default" w:ascii="Times New Roman" w:hAnsi="Times New Roman" w:eastAsia="方正黑体简体" w:cs="Times New Roman"/>
                <w:b/>
                <w:bCs/>
                <w:color w:val="000000"/>
                <w:sz w:val="28"/>
                <w:szCs w:val="28"/>
                <w:lang w:bidi="ar"/>
              </w:rPr>
              <w:t>济宁市城市管理局</w:t>
            </w:r>
          </w:p>
        </w:tc>
      </w:tr>
      <w:tr w14:paraId="215CAE78">
        <w:tblPrEx>
          <w:tblCellMar>
            <w:top w:w="0" w:type="dxa"/>
            <w:left w:w="108" w:type="dxa"/>
            <w:bottom w:w="0" w:type="dxa"/>
            <w:right w:w="108" w:type="dxa"/>
          </w:tblCellMar>
        </w:tblPrEx>
        <w:trPr>
          <w:trHeight w:val="36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A262F">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C898C">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47E66">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70BB1">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eastAsia="方正黑体简体" w:cs="Times New Roman"/>
                <w:b/>
                <w:bCs/>
                <w:color w:val="000000"/>
                <w:sz w:val="21"/>
                <w:szCs w:val="21"/>
                <w:lang w:bidi="ar"/>
              </w:rPr>
            </w:pPr>
            <w:r>
              <w:rPr>
                <w:rFonts w:hint="default" w:ascii="Times New Roman" w:hAnsi="Times New Roman" w:eastAsia="方正黑体简体" w:cs="Times New Roman"/>
                <w:b/>
                <w:bCs/>
                <w:color w:val="000000"/>
                <w:sz w:val="21"/>
                <w:szCs w:val="21"/>
                <w:lang w:bidi="ar"/>
              </w:rPr>
              <w:t>法定依据</w:t>
            </w:r>
          </w:p>
        </w:tc>
      </w:tr>
      <w:tr w14:paraId="616B6AA7">
        <w:tblPrEx>
          <w:tblCellMar>
            <w:top w:w="0" w:type="dxa"/>
            <w:left w:w="108" w:type="dxa"/>
            <w:bottom w:w="0" w:type="dxa"/>
            <w:right w:w="108" w:type="dxa"/>
          </w:tblCellMar>
        </w:tblPrEx>
        <w:trPr>
          <w:trHeight w:val="1018"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18660">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78F3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查封、扣押排放噪声的场所、设施、设备、工具和物品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679B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特殊情况必须连续作业，无法停止，查封、扣押将影响工程质量的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4D2A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bidi="ar"/>
              </w:rPr>
              <w:t>《中华人民共和国噪声污染防治法》（2022年6月5日实施）    第三十条</w:t>
            </w:r>
            <w:r>
              <w:rPr>
                <w:rFonts w:hint="default" w:ascii="Times New Roman" w:hAnsi="Times New Roman" w:eastAsia="方正仿宋简体" w:cs="Times New Roman"/>
                <w:b/>
                <w:bCs/>
                <w:color w:val="auto"/>
                <w:sz w:val="22"/>
                <w:szCs w:val="22"/>
                <w:highlight w:val="none"/>
                <w:lang w:eastAsia="zh-CN" w:bidi="ar"/>
              </w:rPr>
              <w:t>；</w:t>
            </w:r>
          </w:p>
          <w:p w14:paraId="0C2C555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bidi="ar"/>
              </w:rPr>
              <w:t>.《中华人民共和国行政强制法》（2011年6月通过）第十六条</w:t>
            </w:r>
          </w:p>
        </w:tc>
      </w:tr>
      <w:tr w14:paraId="10C24DA2">
        <w:tblPrEx>
          <w:tblCellMar>
            <w:top w:w="0" w:type="dxa"/>
            <w:left w:w="108" w:type="dxa"/>
            <w:bottom w:w="0" w:type="dxa"/>
            <w:right w:w="108" w:type="dxa"/>
          </w:tblCellMar>
        </w:tblPrEx>
        <w:trPr>
          <w:trHeight w:val="1018"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DB42B">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val="en-US" w:eastAsia="zh-CN" w:bidi="ar"/>
              </w:rPr>
            </w:pPr>
            <w:r>
              <w:rPr>
                <w:rFonts w:hint="default" w:ascii="Times New Roman" w:hAnsi="Times New Roman" w:cs="Times New Roman"/>
                <w:b/>
                <w:bCs/>
                <w:color w:val="000000"/>
                <w:sz w:val="22"/>
                <w:szCs w:val="22"/>
                <w:lang w:val="en-US" w:eastAsia="zh-CN" w:bidi="ar"/>
              </w:rPr>
              <w:t>6</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5A10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扣留不按规定停放的非机动车</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B887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非机动车驾驶人接受罚款处罚</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0BD6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《济宁市城镇容貌和环境卫生管理条例》（2016年10月通过，2021年8月修订）第三十三条第三款</w:t>
            </w:r>
          </w:p>
        </w:tc>
      </w:tr>
      <w:tr w14:paraId="761567D2">
        <w:tblPrEx>
          <w:shd w:val="clear" w:color="auto" w:fill="auto"/>
          <w:tblCellMar>
            <w:top w:w="0" w:type="dxa"/>
            <w:left w:w="108" w:type="dxa"/>
            <w:bottom w:w="0" w:type="dxa"/>
            <w:right w:w="108" w:type="dxa"/>
          </w:tblCellMar>
        </w:tblPrEx>
        <w:trPr>
          <w:trHeight w:val="780" w:hRule="atLeast"/>
        </w:trPr>
        <w:tc>
          <w:tcPr>
            <w:tcW w:w="14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92C5">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36"/>
                <w:szCs w:val="36"/>
              </w:rPr>
            </w:pPr>
            <w:r>
              <w:rPr>
                <w:rFonts w:hint="eastAsia" w:eastAsia="方正黑体简体" w:cs="Times New Roman"/>
                <w:b/>
                <w:bCs/>
                <w:color w:val="000000"/>
                <w:sz w:val="28"/>
                <w:szCs w:val="28"/>
                <w:lang w:val="en-US" w:eastAsia="zh-CN" w:bidi="ar"/>
              </w:rPr>
              <w:t>5.</w:t>
            </w:r>
            <w:r>
              <w:rPr>
                <w:rFonts w:hint="default" w:ascii="Times New Roman" w:hAnsi="Times New Roman" w:eastAsia="方正黑体简体" w:cs="Times New Roman"/>
                <w:b/>
                <w:bCs/>
                <w:color w:val="000000"/>
                <w:sz w:val="28"/>
                <w:szCs w:val="28"/>
                <w:lang w:bidi="ar"/>
              </w:rPr>
              <w:t>济宁市市场监督管理局</w:t>
            </w:r>
          </w:p>
        </w:tc>
      </w:tr>
      <w:tr w14:paraId="47D29839">
        <w:tblPrEx>
          <w:shd w:val="clear" w:color="auto" w:fill="auto"/>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C9E13">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4"/>
                <w:szCs w:val="24"/>
              </w:rPr>
            </w:pPr>
            <w:r>
              <w:rPr>
                <w:rFonts w:hint="default" w:ascii="Times New Roman" w:hAnsi="Times New Roman" w:eastAsia="方正黑体简体" w:cs="Times New Roman"/>
                <w:b/>
                <w:bCs/>
                <w:color w:val="000000"/>
                <w:sz w:val="24"/>
                <w:szCs w:val="24"/>
                <w:lang w:bidi="ar"/>
              </w:rPr>
              <w:t>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BED55">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4"/>
                <w:szCs w:val="24"/>
              </w:rPr>
            </w:pPr>
            <w:r>
              <w:rPr>
                <w:rFonts w:hint="default" w:ascii="Times New Roman" w:hAnsi="Times New Roman" w:eastAsia="方正黑体简体" w:cs="Times New Roman"/>
                <w:b/>
                <w:bCs/>
                <w:color w:val="000000"/>
                <w:sz w:val="24"/>
                <w:szCs w:val="24"/>
                <w:lang w:bidi="ar"/>
              </w:rPr>
              <w:t>行政强制措施</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6A644">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4"/>
                <w:szCs w:val="24"/>
              </w:rPr>
            </w:pPr>
            <w:r>
              <w:rPr>
                <w:rFonts w:hint="default" w:ascii="Times New Roman" w:hAnsi="Times New Roman" w:eastAsia="方正黑体简体" w:cs="Times New Roman"/>
                <w:b/>
                <w:bCs/>
                <w:color w:val="000000"/>
                <w:sz w:val="24"/>
                <w:szCs w:val="24"/>
                <w:lang w:bidi="ar"/>
              </w:rPr>
              <w:t>不予实施条件</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B7077">
            <w:pPr>
              <w:keepNext w:val="0"/>
              <w:keepLines w:val="0"/>
              <w:pageBreakBefore w:val="0"/>
              <w:widowControl/>
              <w:shd w:val="clear"/>
              <w:kinsoku/>
              <w:wordWrap/>
              <w:overflowPunct/>
              <w:topLinePunct w:val="0"/>
              <w:autoSpaceDE/>
              <w:autoSpaceDN/>
              <w:bidi w:val="0"/>
              <w:adjustRightInd/>
              <w:spacing w:line="560" w:lineRule="exact"/>
              <w:jc w:val="center"/>
              <w:textAlignment w:val="center"/>
              <w:rPr>
                <w:rFonts w:hint="default" w:ascii="Times New Roman" w:hAnsi="Times New Roman" w:cs="Times New Roman"/>
                <w:b/>
                <w:bCs/>
                <w:color w:val="000000"/>
                <w:sz w:val="24"/>
                <w:szCs w:val="24"/>
              </w:rPr>
            </w:pPr>
            <w:r>
              <w:rPr>
                <w:rFonts w:hint="default" w:ascii="Times New Roman" w:hAnsi="Times New Roman" w:eastAsia="方正黑体简体" w:cs="Times New Roman"/>
                <w:b/>
                <w:bCs/>
                <w:color w:val="000000"/>
                <w:sz w:val="24"/>
                <w:szCs w:val="24"/>
                <w:lang w:bidi="ar"/>
              </w:rPr>
              <w:t>法定依据</w:t>
            </w:r>
          </w:p>
        </w:tc>
      </w:tr>
      <w:tr w14:paraId="08881DAC">
        <w:tblPrEx>
          <w:shd w:val="clear" w:color="auto" w:fill="auto"/>
          <w:tblCellMar>
            <w:top w:w="0" w:type="dxa"/>
            <w:left w:w="108" w:type="dxa"/>
            <w:bottom w:w="0" w:type="dxa"/>
            <w:right w:w="108" w:type="dxa"/>
          </w:tblCellMar>
        </w:tblPrEx>
        <w:trPr>
          <w:trHeight w:val="238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A2425">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val="en-US" w:eastAsia="zh-CN" w:bidi="ar"/>
              </w:rPr>
              <w:t>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58E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查封、扣押与涉嫌未依法显著、清晰表示有关内容的违法广告直接相关的广告物品、经营工具、设备等财物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972F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37FB8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2.持续时间较短或者受众较少，对消费者欺骗、误导作用小；</w:t>
            </w:r>
          </w:p>
          <w:p w14:paraId="50F50A9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3.主动改正或者在责令改正期限内改正，未造成危害后果或者不良社会影响；</w:t>
            </w:r>
          </w:p>
          <w:p w14:paraId="2735B0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4.能够积极配合调查取证，且涉案的物品、工具、设备等财物还用于其他合法生产经营活动。</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3F84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《中华人民共和国广告法》第四十九条</w:t>
            </w:r>
          </w:p>
        </w:tc>
      </w:tr>
      <w:tr w14:paraId="20C55125">
        <w:tblPrEx>
          <w:tblCellMar>
            <w:top w:w="0" w:type="dxa"/>
            <w:left w:w="108" w:type="dxa"/>
            <w:bottom w:w="0" w:type="dxa"/>
            <w:right w:w="108" w:type="dxa"/>
          </w:tblCellMar>
        </w:tblPrEx>
        <w:trPr>
          <w:trHeight w:val="174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0AF8D">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val="en-US" w:eastAsia="zh-CN" w:bidi="ar"/>
              </w:rPr>
              <w:t>8</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17A1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查封、扣押有证据证明是假冒专利的产品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F32C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199D83B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2.不知道是假冒专利的产品，能够证明该产品的合法来源；</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69F4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eastAsia" w:ascii="Times New Roman" w:hAnsi="Times New Roman" w:eastAsia="方正仿宋简体" w:cs="Times New Roman"/>
                <w:b/>
                <w:bCs/>
                <w:color w:val="auto"/>
                <w:sz w:val="22"/>
                <w:szCs w:val="22"/>
                <w:highlight w:val="none"/>
                <w:lang w:val="en-US" w:eastAsia="zh-CN" w:bidi="ar"/>
              </w:rPr>
            </w:pPr>
            <w:r>
              <w:rPr>
                <w:rFonts w:hint="eastAsia"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《中华人民共和国专利法》第六十九条</w:t>
            </w:r>
            <w:r>
              <w:rPr>
                <w:rFonts w:hint="eastAsia" w:ascii="Times New Roman" w:hAnsi="Times New Roman" w:eastAsia="方正仿宋简体" w:cs="Times New Roman"/>
                <w:b/>
                <w:bCs/>
                <w:color w:val="auto"/>
                <w:sz w:val="22"/>
                <w:szCs w:val="22"/>
                <w:highlight w:val="none"/>
                <w:lang w:val="en-US" w:eastAsia="zh-CN" w:bidi="ar"/>
              </w:rPr>
              <w:t>；</w:t>
            </w:r>
          </w:p>
          <w:p w14:paraId="3F54DF3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山东省专利条例》第三十一条</w:t>
            </w:r>
          </w:p>
        </w:tc>
      </w:tr>
      <w:tr w14:paraId="03C6CF56">
        <w:tblPrEx>
          <w:tblCellMar>
            <w:top w:w="0" w:type="dxa"/>
            <w:left w:w="108" w:type="dxa"/>
            <w:bottom w:w="0" w:type="dxa"/>
            <w:right w:w="108" w:type="dxa"/>
          </w:tblCellMar>
        </w:tblPrEx>
        <w:trPr>
          <w:trHeight w:val="879"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15B2C">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val="en-US" w:eastAsia="zh-CN" w:bidi="ar"/>
              </w:rPr>
              <w:t>9</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A12C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查封、扣押企业与直销活动有关的材料和非法财物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1660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w w:val="86"/>
                <w:sz w:val="22"/>
                <w:szCs w:val="22"/>
                <w:highlight w:val="none"/>
                <w:lang w:val="en-US" w:eastAsia="zh-CN" w:bidi="ar"/>
              </w:rPr>
            </w:pPr>
            <w:r>
              <w:rPr>
                <w:rFonts w:hint="default" w:ascii="Times New Roman" w:hAnsi="Times New Roman" w:eastAsia="方正仿宋简体" w:cs="Times New Roman"/>
                <w:b/>
                <w:bCs/>
                <w:color w:val="auto"/>
                <w:w w:val="86"/>
                <w:sz w:val="22"/>
                <w:szCs w:val="22"/>
                <w:highlight w:val="none"/>
                <w:lang w:val="en-US" w:eastAsia="zh-CN" w:bidi="ar"/>
              </w:rPr>
              <w:t>1.经发现立即停止违法行为或已改正违法行为；</w:t>
            </w:r>
          </w:p>
          <w:p w14:paraId="7AE34AF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w w:val="90"/>
                <w:sz w:val="22"/>
                <w:szCs w:val="22"/>
                <w:highlight w:val="none"/>
                <w:lang w:val="en-US" w:eastAsia="zh-CN" w:bidi="ar"/>
              </w:rPr>
            </w:pPr>
            <w:r>
              <w:rPr>
                <w:rFonts w:hint="default" w:ascii="Times New Roman" w:hAnsi="Times New Roman" w:eastAsia="方正仿宋简体" w:cs="Times New Roman"/>
                <w:b/>
                <w:bCs/>
                <w:color w:val="auto"/>
                <w:w w:val="90"/>
                <w:sz w:val="22"/>
                <w:szCs w:val="22"/>
                <w:highlight w:val="none"/>
                <w:lang w:val="en-US" w:eastAsia="zh-CN" w:bidi="ar"/>
              </w:rPr>
              <w:t>2.未造成危害后果或者没有明显社会危害的；</w:t>
            </w:r>
          </w:p>
          <w:p w14:paraId="0008DF7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3.仅限涉嫌违反《直销管理条例》第二十二条第（一）（三）（四）项、第二十五条、第二十八条的；</w:t>
            </w:r>
          </w:p>
          <w:p w14:paraId="68EF59C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4.积极配合检查，如实提供资料的。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C2EC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ascii="Times New Roman" w:hAnsi="Times New Roman" w:eastAsia="方正仿宋简体" w:cs="Times New Roman"/>
                <w:b/>
                <w:bCs/>
                <w:color w:val="auto"/>
                <w:sz w:val="22"/>
                <w:szCs w:val="22"/>
                <w:highlight w:val="none"/>
                <w:lang w:val="en-US" w:eastAsia="zh-CN" w:bidi="ar"/>
              </w:rPr>
              <w:t>《</w:t>
            </w:r>
            <w:r>
              <w:rPr>
                <w:rFonts w:hint="default" w:ascii="Times New Roman" w:hAnsi="Times New Roman" w:eastAsia="方正仿宋简体" w:cs="Times New Roman"/>
                <w:b/>
                <w:bCs/>
                <w:color w:val="auto"/>
                <w:sz w:val="22"/>
                <w:szCs w:val="22"/>
                <w:highlight w:val="none"/>
                <w:lang w:val="en-US" w:eastAsia="zh-CN" w:bidi="ar"/>
              </w:rPr>
              <w:t>直销管理条例》第三十五条</w:t>
            </w:r>
          </w:p>
        </w:tc>
      </w:tr>
      <w:tr w14:paraId="64DFDA9D">
        <w:tblPrEx>
          <w:shd w:val="clear" w:color="auto" w:fill="auto"/>
          <w:tblCellMar>
            <w:top w:w="0" w:type="dxa"/>
            <w:left w:w="108" w:type="dxa"/>
            <w:bottom w:w="0" w:type="dxa"/>
            <w:right w:w="108" w:type="dxa"/>
          </w:tblCellMar>
        </w:tblPrEx>
        <w:trPr>
          <w:trHeight w:val="234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80CA9">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val="en-US" w:eastAsia="zh-CN"/>
              </w:rPr>
            </w:pPr>
            <w:r>
              <w:rPr>
                <w:rFonts w:hint="default" w:ascii="Times New Roman" w:hAnsi="Times New Roman" w:cs="Times New Roman"/>
                <w:b/>
                <w:bCs/>
                <w:color w:val="000000"/>
                <w:sz w:val="22"/>
                <w:szCs w:val="22"/>
                <w:lang w:val="en-US" w:eastAsia="zh-CN" w:bidi="ar"/>
              </w:rPr>
              <w:t>10</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2201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查封、扣押涉嫌未依法在产品、包装或者说明书上标注生产许可证标志和编号的列入目录产品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2C22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4444C8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2.主动改正或者经责令限期改正后及时改正；</w:t>
            </w:r>
          </w:p>
          <w:p w14:paraId="6F037E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3.已依法取得工业产品生产许可证且在有效期内。</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A09F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中华人民共和国工业产品生产许可证管理条例》第三十七条</w:t>
            </w:r>
            <w:r>
              <w:rPr>
                <w:rFonts w:hint="eastAsia" w:ascii="Times New Roman" w:hAnsi="Times New Roman" w:eastAsia="方正仿宋简体" w:cs="Times New Roman"/>
                <w:b/>
                <w:bCs/>
                <w:color w:val="auto"/>
                <w:sz w:val="22"/>
                <w:szCs w:val="22"/>
                <w:highlight w:val="none"/>
                <w:lang w:val="en-US" w:eastAsia="zh-CN" w:bidi="ar"/>
              </w:rPr>
              <w:t>；</w:t>
            </w:r>
          </w:p>
          <w:p w14:paraId="18E103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《中华人民共和国工业产品生产许可证管理条例实施办法》第四十四条</w:t>
            </w:r>
          </w:p>
        </w:tc>
      </w:tr>
      <w:tr w14:paraId="376EF26B">
        <w:tblPrEx>
          <w:tblCellMar>
            <w:top w:w="0" w:type="dxa"/>
            <w:left w:w="108" w:type="dxa"/>
            <w:bottom w:w="0" w:type="dxa"/>
            <w:right w:w="108" w:type="dxa"/>
          </w:tblCellMar>
        </w:tblPrEx>
        <w:trPr>
          <w:trHeight w:val="2837"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D2420">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val="en-US"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1</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5300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查封涉嫌从事无照经营的场所；查封、扣押涉嫌用于无照经营的工具、设备、原材料、产品（商品）等物品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740A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1C45179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2.已停止经营行为；</w:t>
            </w:r>
          </w:p>
          <w:p w14:paraId="5A951A3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3.立案调查前已提交申请营业执照材料并受理；</w:t>
            </w:r>
          </w:p>
          <w:p w14:paraId="499168A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4.从事经营活动时间较短，未造成危害后果或危害后果轻微；</w:t>
            </w:r>
          </w:p>
          <w:p w14:paraId="44ACB56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w w:val="88"/>
                <w:sz w:val="22"/>
                <w:szCs w:val="22"/>
                <w:highlight w:val="none"/>
                <w:lang w:val="en-US" w:eastAsia="zh-CN" w:bidi="ar"/>
              </w:rPr>
              <w:t>5.该场所与其他生产、生活必需场所密不可分。</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1867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ascii="Times New Roman" w:hAnsi="Times New Roman" w:eastAsia="方正仿宋简体" w:cs="Times New Roman"/>
                <w:b/>
                <w:bCs/>
                <w:color w:val="auto"/>
                <w:sz w:val="22"/>
                <w:szCs w:val="22"/>
                <w:highlight w:val="none"/>
                <w:lang w:val="en-US" w:eastAsia="zh-CN" w:bidi="ar"/>
              </w:rPr>
              <w:t>《</w:t>
            </w:r>
            <w:r>
              <w:rPr>
                <w:rFonts w:hint="default" w:ascii="Times New Roman" w:hAnsi="Times New Roman" w:eastAsia="方正仿宋简体" w:cs="Times New Roman"/>
                <w:b/>
                <w:bCs/>
                <w:color w:val="auto"/>
                <w:sz w:val="22"/>
                <w:szCs w:val="22"/>
                <w:highlight w:val="none"/>
                <w:lang w:val="en-US" w:eastAsia="zh-CN" w:bidi="ar"/>
              </w:rPr>
              <w:t>无证无照经营查处办法》第十一条</w:t>
            </w:r>
          </w:p>
        </w:tc>
      </w:tr>
      <w:tr w14:paraId="55E1AA22">
        <w:tblPrEx>
          <w:shd w:val="clear" w:color="auto" w:fill="auto"/>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040AD">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A75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查封、扣押与违法行为有关的合同、票据、账簿以及其他资料和专门用于从事违法行为的工具、设备、原材料、产品（商品）等财物</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A03A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w w:val="90"/>
                <w:sz w:val="22"/>
                <w:szCs w:val="22"/>
                <w:highlight w:val="none"/>
                <w:lang w:val="en-US" w:eastAsia="zh-CN" w:bidi="ar"/>
              </w:rPr>
            </w:pPr>
            <w:r>
              <w:rPr>
                <w:rFonts w:hint="default" w:ascii="Times New Roman" w:hAnsi="Times New Roman" w:eastAsia="方正仿宋简体" w:cs="Times New Roman"/>
                <w:b/>
                <w:bCs/>
                <w:color w:val="auto"/>
                <w:w w:val="90"/>
                <w:sz w:val="22"/>
                <w:szCs w:val="22"/>
                <w:highlight w:val="none"/>
                <w:lang w:val="en-US" w:eastAsia="zh-CN" w:bidi="ar"/>
              </w:rPr>
              <w:t>1.主动改正或者经责令限期改正后及时改正；</w:t>
            </w:r>
          </w:p>
          <w:p w14:paraId="0E584E9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2.对涉案合同、票据、账簿、凭证等资料，通过复印、拍照或者利用互联网信息系统、设备等非强制方式能够及时有效固定证据；</w:t>
            </w:r>
          </w:p>
          <w:p w14:paraId="53154AD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3.涉案的工具、设备等财物，可以用于其他合法生产经营活动，且当事人配合调查取证、积极整改并承诺不再从事同类违法行为。</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178D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《外国企业常驻代表机构登记管理条例》第二十一条</w:t>
            </w:r>
          </w:p>
        </w:tc>
      </w:tr>
      <w:tr w14:paraId="6D9A8815">
        <w:tblPrEx>
          <w:tblCellMar>
            <w:top w:w="0" w:type="dxa"/>
            <w:left w:w="108" w:type="dxa"/>
            <w:bottom w:w="0" w:type="dxa"/>
            <w:right w:w="108" w:type="dxa"/>
          </w:tblCellMar>
        </w:tblPrEx>
        <w:trPr>
          <w:trHeight w:val="1989"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418C">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3</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8879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对有证据证明是侵犯他人注册商标专用权的物品，可以查封或者扣押。</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68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A4A209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2.情节显著轻微或者没有明显社会危害；</w:t>
            </w:r>
          </w:p>
          <w:p w14:paraId="3AC891F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3.主动改正或者经责令限期改正后及时改正。</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0F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《中华人民共和国商标法》第六十二条</w:t>
            </w:r>
          </w:p>
        </w:tc>
      </w:tr>
      <w:tr w14:paraId="1DFD0C4A">
        <w:tblPrEx>
          <w:tblCellMar>
            <w:top w:w="0" w:type="dxa"/>
            <w:left w:w="108" w:type="dxa"/>
            <w:bottom w:w="0" w:type="dxa"/>
            <w:right w:w="108" w:type="dxa"/>
          </w:tblCellMar>
        </w:tblPrEx>
        <w:trPr>
          <w:trHeight w:val="2295"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5E8C1">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4</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20D1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查封、扣押有证据证明不符合食品安全标准或者有证据证明存在安全隐患以及用于违法生产经营的食品、食品添加剂、食品相关产品；查封违法从事生产经营活动的场所。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265A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4FCF97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2.情节显著轻微或者没有明显社会危害；</w:t>
            </w:r>
          </w:p>
          <w:p w14:paraId="3758A85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3.主动改正或者经责令限期改正后及时改正。</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5EA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《中华人民共和国食品安全法》第一百一十条</w:t>
            </w:r>
          </w:p>
        </w:tc>
      </w:tr>
      <w:tr w14:paraId="73458D83">
        <w:tblPrEx>
          <w:shd w:val="clear" w:color="auto" w:fill="auto"/>
          <w:tblCellMar>
            <w:top w:w="0" w:type="dxa"/>
            <w:left w:w="108" w:type="dxa"/>
            <w:bottom w:w="0" w:type="dxa"/>
            <w:right w:w="108" w:type="dxa"/>
          </w:tblCellMar>
        </w:tblPrEx>
        <w:trPr>
          <w:trHeight w:val="2477"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35393">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5</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DB7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查封、扣押有证据证明不符合食品安全标准或者有证据证明存在安全隐患以及用于违法生产经营的食品、工具和设备；查封违法从事食品生产经营活动的场所。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2FD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1C74BD7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2.情节显著轻微或者没有明显社会危害；</w:t>
            </w:r>
          </w:p>
          <w:p w14:paraId="70275BE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3.主动改正或者经责令限期改正后及时改正。</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F516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w:t>
            </w:r>
            <w:r>
              <w:rPr>
                <w:rFonts w:hint="default" w:ascii="Times New Roman" w:hAnsi="Times New Roman" w:eastAsia="方正仿宋简体" w:cs="Times New Roman"/>
                <w:b/>
                <w:bCs/>
                <w:color w:val="auto"/>
                <w:sz w:val="22"/>
                <w:szCs w:val="22"/>
                <w:highlight w:val="none"/>
                <w:lang w:val="en-US" w:eastAsia="zh-CN" w:bidi="ar"/>
              </w:rPr>
              <w:t>食品生产经营监督检查管理办法》第二十五条</w:t>
            </w:r>
          </w:p>
        </w:tc>
      </w:tr>
      <w:tr w14:paraId="5F5760BB">
        <w:tblPrEx>
          <w:tblCellMar>
            <w:top w:w="0" w:type="dxa"/>
            <w:left w:w="108" w:type="dxa"/>
            <w:bottom w:w="0" w:type="dxa"/>
            <w:right w:w="108" w:type="dxa"/>
          </w:tblCellMar>
        </w:tblPrEx>
        <w:trPr>
          <w:trHeight w:val="315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0E464">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6</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EFCE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查封、扣押不符合法定要求的医疗器械，违法使用的零配件、原材料以及用于违法生产经营医疗器械的工具、设备；查封违反本条例规定从事医疗器械生产经营活动的场所。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2169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C0985A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2.情节显著轻微或者没有明显社会危害；</w:t>
            </w:r>
          </w:p>
          <w:p w14:paraId="4A02D1D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3.主动改正或者经责令限期改正后及时改正。</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4E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《医疗器械监督管理条例》第七十条</w:t>
            </w:r>
          </w:p>
        </w:tc>
      </w:tr>
      <w:tr w14:paraId="5F45F15F">
        <w:tblPrEx>
          <w:tblCellMar>
            <w:top w:w="0" w:type="dxa"/>
            <w:left w:w="108" w:type="dxa"/>
            <w:bottom w:w="0" w:type="dxa"/>
            <w:right w:w="108" w:type="dxa"/>
          </w:tblCellMar>
        </w:tblPrEx>
        <w:trPr>
          <w:trHeight w:val="2114"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E8554">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4A5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对涉嫌违法违规的医疗器械网络销售行为依法查封扣押数据存储介质等。</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B4D9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F535D4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2.情节显著轻微或者没有明显社会危害；</w:t>
            </w:r>
          </w:p>
          <w:p w14:paraId="562456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3.主动改正或者经责令限期改正后及时改正；</w:t>
            </w:r>
          </w:p>
          <w:p w14:paraId="16C7AF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4.积极配合检查，如实提供资料的。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FDDB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《医疗器械网络销售监督管理办法》第二十九条</w:t>
            </w:r>
          </w:p>
        </w:tc>
      </w:tr>
      <w:tr w14:paraId="54074FF6">
        <w:tblPrEx>
          <w:tblCellMar>
            <w:top w:w="0" w:type="dxa"/>
            <w:left w:w="108" w:type="dxa"/>
            <w:bottom w:w="0" w:type="dxa"/>
            <w:right w:w="108" w:type="dxa"/>
          </w:tblCellMar>
        </w:tblPrEx>
        <w:trPr>
          <w:trHeight w:val="220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A2FEC">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8</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033F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B09F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0C346B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2.情节显著轻微或者没有明显社会危害；</w:t>
            </w:r>
          </w:p>
          <w:p w14:paraId="4E91734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3.主动改正或者经责令限期改正后及时改正。</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B144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《化妆品监督管理条例》第四十六条</w:t>
            </w:r>
          </w:p>
        </w:tc>
      </w:tr>
      <w:tr w14:paraId="57275D78">
        <w:tblPrEx>
          <w:shd w:val="clear" w:color="auto" w:fill="auto"/>
          <w:tblCellMar>
            <w:top w:w="0" w:type="dxa"/>
            <w:left w:w="108" w:type="dxa"/>
            <w:bottom w:w="0" w:type="dxa"/>
            <w:right w:w="108" w:type="dxa"/>
          </w:tblCellMar>
        </w:tblPrEx>
        <w:trPr>
          <w:trHeight w:val="2074"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99975">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
                <w:bCs/>
                <w:color w:val="000000"/>
                <w:sz w:val="22"/>
                <w:szCs w:val="22"/>
                <w:lang w:eastAsia="zh-CN"/>
              </w:rPr>
            </w:pPr>
            <w:r>
              <w:rPr>
                <w:rFonts w:hint="default" w:ascii="Times New Roman" w:hAnsi="Times New Roman" w:cs="Times New Roman"/>
                <w:b/>
                <w:bCs/>
                <w:color w:val="000000"/>
                <w:sz w:val="22"/>
                <w:szCs w:val="22"/>
                <w:lang w:bidi="ar"/>
              </w:rPr>
              <w:t>1</w:t>
            </w:r>
            <w:r>
              <w:rPr>
                <w:rFonts w:hint="default" w:ascii="Times New Roman" w:hAnsi="Times New Roman" w:cs="Times New Roman"/>
                <w:b/>
                <w:bCs/>
                <w:color w:val="000000"/>
                <w:sz w:val="22"/>
                <w:szCs w:val="22"/>
                <w:lang w:val="en-US" w:eastAsia="zh-CN" w:bidi="ar"/>
              </w:rPr>
              <w:t>9</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2BF8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查封、扣押未经认证的产品或者不符合认证要求的产品。</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0D4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073EC4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2.情节显著轻微或者没有明显社会危害；</w:t>
            </w:r>
          </w:p>
          <w:p w14:paraId="2A004B2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3.主动改正或者经责令限期改正后及时改正。</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E834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《强制性产品认证管理规定》第三十八条</w:t>
            </w:r>
          </w:p>
        </w:tc>
      </w:tr>
    </w:tbl>
    <w:p w14:paraId="34743341">
      <w:pPr>
        <w:keepNext w:val="0"/>
        <w:keepLines w:val="0"/>
        <w:pageBreakBefore w:val="0"/>
        <w:shd w:val="clear"/>
        <w:kinsoku/>
        <w:wordWrap/>
        <w:overflowPunct/>
        <w:topLinePunct w:val="0"/>
        <w:autoSpaceDE/>
        <w:autoSpaceDN/>
        <w:bidi w:val="0"/>
        <w:adjustRightInd/>
        <w:snapToGrid w:val="0"/>
        <w:spacing w:line="560" w:lineRule="exact"/>
        <w:jc w:val="left"/>
        <w:rPr>
          <w:rFonts w:hint="default" w:ascii="Times New Roman" w:hAnsi="Times New Roman" w:eastAsia="方正黑体简体" w:cs="Times New Roman"/>
          <w:b/>
          <w:bCs/>
          <w:color w:val="000000" w:themeColor="text1"/>
          <w:sz w:val="32"/>
          <w:szCs w:val="32"/>
          <w14:textFill>
            <w14:solidFill>
              <w14:schemeClr w14:val="tx1"/>
            </w14:solidFill>
          </w14:textFill>
        </w:rPr>
      </w:pPr>
    </w:p>
    <w:sectPr>
      <w:footerReference r:id="rId3" w:type="default"/>
      <w:pgSz w:w="16838" w:h="11906" w:orient="landscape"/>
      <w:pgMar w:top="1587" w:right="1417" w:bottom="1417" w:left="1417" w:header="851" w:footer="992" w:gutter="0"/>
      <w:pgNumType w:fmt="numberInDash" w:start="15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82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BA522">
                          <w:pPr>
                            <w:pStyle w:val="2"/>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5BA522">
                    <w:pPr>
                      <w:pStyle w:val="2"/>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OTM5ZGYwNTVhMWIwMWI4ZjkzYTUyOWJhOWRiNzUifQ=="/>
  </w:docVars>
  <w:rsids>
    <w:rsidRoot w:val="001952FA"/>
    <w:rsid w:val="001952FA"/>
    <w:rsid w:val="00374CB4"/>
    <w:rsid w:val="0039062B"/>
    <w:rsid w:val="006A41DC"/>
    <w:rsid w:val="008001DA"/>
    <w:rsid w:val="00BD5CF7"/>
    <w:rsid w:val="00C1307B"/>
    <w:rsid w:val="00F4363E"/>
    <w:rsid w:val="016170D1"/>
    <w:rsid w:val="017B59ED"/>
    <w:rsid w:val="01A121A2"/>
    <w:rsid w:val="02411F34"/>
    <w:rsid w:val="02B769AE"/>
    <w:rsid w:val="030D1D5D"/>
    <w:rsid w:val="03A333BC"/>
    <w:rsid w:val="03DB41BC"/>
    <w:rsid w:val="040811F8"/>
    <w:rsid w:val="04390EE3"/>
    <w:rsid w:val="04906786"/>
    <w:rsid w:val="04C55066"/>
    <w:rsid w:val="069D0289"/>
    <w:rsid w:val="077B0393"/>
    <w:rsid w:val="07AE4BCC"/>
    <w:rsid w:val="08622DF2"/>
    <w:rsid w:val="08634780"/>
    <w:rsid w:val="0ADC6F72"/>
    <w:rsid w:val="0AE7380F"/>
    <w:rsid w:val="0B240B45"/>
    <w:rsid w:val="0B284CD5"/>
    <w:rsid w:val="0B445937"/>
    <w:rsid w:val="0B8732B1"/>
    <w:rsid w:val="0BE1337A"/>
    <w:rsid w:val="0CD56634"/>
    <w:rsid w:val="0CE91A4F"/>
    <w:rsid w:val="0D4D0858"/>
    <w:rsid w:val="0D6551DF"/>
    <w:rsid w:val="0D9E3EA0"/>
    <w:rsid w:val="0E3C6E84"/>
    <w:rsid w:val="100131D3"/>
    <w:rsid w:val="1026602E"/>
    <w:rsid w:val="10A715E5"/>
    <w:rsid w:val="11195FB7"/>
    <w:rsid w:val="11951E4E"/>
    <w:rsid w:val="11A632B2"/>
    <w:rsid w:val="12411FD6"/>
    <w:rsid w:val="12585F6C"/>
    <w:rsid w:val="12D158B2"/>
    <w:rsid w:val="130E576E"/>
    <w:rsid w:val="13203999"/>
    <w:rsid w:val="13675A6C"/>
    <w:rsid w:val="13DE2F15"/>
    <w:rsid w:val="140070B8"/>
    <w:rsid w:val="1568787A"/>
    <w:rsid w:val="16B51C58"/>
    <w:rsid w:val="177C3E3F"/>
    <w:rsid w:val="17A80401"/>
    <w:rsid w:val="189756F6"/>
    <w:rsid w:val="189D4FA6"/>
    <w:rsid w:val="18B253C2"/>
    <w:rsid w:val="18C7025C"/>
    <w:rsid w:val="18E61166"/>
    <w:rsid w:val="192376B0"/>
    <w:rsid w:val="19A73FC4"/>
    <w:rsid w:val="19F75697"/>
    <w:rsid w:val="1A9A6727"/>
    <w:rsid w:val="1A9F50CA"/>
    <w:rsid w:val="1AC873D2"/>
    <w:rsid w:val="1AFC3FF9"/>
    <w:rsid w:val="1C125488"/>
    <w:rsid w:val="1C796F6E"/>
    <w:rsid w:val="1E0A2916"/>
    <w:rsid w:val="1E787E09"/>
    <w:rsid w:val="205170AE"/>
    <w:rsid w:val="211233F9"/>
    <w:rsid w:val="211754E2"/>
    <w:rsid w:val="220A23E4"/>
    <w:rsid w:val="22564BF2"/>
    <w:rsid w:val="229A611F"/>
    <w:rsid w:val="22C84C64"/>
    <w:rsid w:val="22CB2C89"/>
    <w:rsid w:val="239F5EEA"/>
    <w:rsid w:val="23FD01D9"/>
    <w:rsid w:val="2414746E"/>
    <w:rsid w:val="248D0633"/>
    <w:rsid w:val="254C061E"/>
    <w:rsid w:val="256B2501"/>
    <w:rsid w:val="267F7CE2"/>
    <w:rsid w:val="26F23447"/>
    <w:rsid w:val="26FD4140"/>
    <w:rsid w:val="28F24E7F"/>
    <w:rsid w:val="293105A3"/>
    <w:rsid w:val="29652CDC"/>
    <w:rsid w:val="29C31412"/>
    <w:rsid w:val="29E667F6"/>
    <w:rsid w:val="2AB0551D"/>
    <w:rsid w:val="2B2F4C6A"/>
    <w:rsid w:val="2BAA3B2F"/>
    <w:rsid w:val="2C2A46FE"/>
    <w:rsid w:val="2E901263"/>
    <w:rsid w:val="2EE4E1E9"/>
    <w:rsid w:val="2F5E11E2"/>
    <w:rsid w:val="306E372E"/>
    <w:rsid w:val="308906E2"/>
    <w:rsid w:val="32A47CEB"/>
    <w:rsid w:val="333838D7"/>
    <w:rsid w:val="33584451"/>
    <w:rsid w:val="33665BB7"/>
    <w:rsid w:val="33BC12A5"/>
    <w:rsid w:val="33D60C76"/>
    <w:rsid w:val="340C61CA"/>
    <w:rsid w:val="341A150B"/>
    <w:rsid w:val="34E43D40"/>
    <w:rsid w:val="34E94521"/>
    <w:rsid w:val="36B90721"/>
    <w:rsid w:val="379B346F"/>
    <w:rsid w:val="385D38FF"/>
    <w:rsid w:val="38CD2877"/>
    <w:rsid w:val="391B0FED"/>
    <w:rsid w:val="3A115048"/>
    <w:rsid w:val="3B545049"/>
    <w:rsid w:val="3B6832C5"/>
    <w:rsid w:val="3C6A621A"/>
    <w:rsid w:val="3CB66CDF"/>
    <w:rsid w:val="3E3F5B1E"/>
    <w:rsid w:val="3EB639D9"/>
    <w:rsid w:val="3F794BDA"/>
    <w:rsid w:val="3F7F54C8"/>
    <w:rsid w:val="3F850165"/>
    <w:rsid w:val="3F85176F"/>
    <w:rsid w:val="3FAC4683"/>
    <w:rsid w:val="3FE206D5"/>
    <w:rsid w:val="3FFEDD1B"/>
    <w:rsid w:val="4054105D"/>
    <w:rsid w:val="40572841"/>
    <w:rsid w:val="40BB7C59"/>
    <w:rsid w:val="41DD7096"/>
    <w:rsid w:val="41F83470"/>
    <w:rsid w:val="42601A72"/>
    <w:rsid w:val="4314729B"/>
    <w:rsid w:val="436B3881"/>
    <w:rsid w:val="43D800C2"/>
    <w:rsid w:val="444E7AB7"/>
    <w:rsid w:val="4553236F"/>
    <w:rsid w:val="45763945"/>
    <w:rsid w:val="45CA1D7D"/>
    <w:rsid w:val="466650A2"/>
    <w:rsid w:val="468121B4"/>
    <w:rsid w:val="4729480B"/>
    <w:rsid w:val="479527DA"/>
    <w:rsid w:val="47D11DC8"/>
    <w:rsid w:val="48D12A65"/>
    <w:rsid w:val="49BE4EDA"/>
    <w:rsid w:val="4A4A7D11"/>
    <w:rsid w:val="4B9F7C73"/>
    <w:rsid w:val="4BBF29B9"/>
    <w:rsid w:val="4BC64162"/>
    <w:rsid w:val="4DF1328E"/>
    <w:rsid w:val="4EA17F11"/>
    <w:rsid w:val="4F3A2AEA"/>
    <w:rsid w:val="4F8E0C9D"/>
    <w:rsid w:val="4FA40ED3"/>
    <w:rsid w:val="4FB63400"/>
    <w:rsid w:val="4FE8187A"/>
    <w:rsid w:val="503871A5"/>
    <w:rsid w:val="50696BE9"/>
    <w:rsid w:val="51714DE5"/>
    <w:rsid w:val="525A3ACB"/>
    <w:rsid w:val="52650419"/>
    <w:rsid w:val="534F1156"/>
    <w:rsid w:val="53B24E19"/>
    <w:rsid w:val="565B162D"/>
    <w:rsid w:val="56AE51E0"/>
    <w:rsid w:val="56D74EC0"/>
    <w:rsid w:val="56E147BB"/>
    <w:rsid w:val="56E55EE0"/>
    <w:rsid w:val="57FFD22F"/>
    <w:rsid w:val="58783B54"/>
    <w:rsid w:val="58D02E78"/>
    <w:rsid w:val="58E4161A"/>
    <w:rsid w:val="592E180D"/>
    <w:rsid w:val="59E05F06"/>
    <w:rsid w:val="59FD5DAF"/>
    <w:rsid w:val="5A2B0384"/>
    <w:rsid w:val="5A61633E"/>
    <w:rsid w:val="5B3402E5"/>
    <w:rsid w:val="5B964445"/>
    <w:rsid w:val="5BF6404E"/>
    <w:rsid w:val="5CA86E60"/>
    <w:rsid w:val="5D20178F"/>
    <w:rsid w:val="5DDA223F"/>
    <w:rsid w:val="5DF76536"/>
    <w:rsid w:val="5E2107F4"/>
    <w:rsid w:val="5ED35331"/>
    <w:rsid w:val="5F0426CF"/>
    <w:rsid w:val="5F0B3DFC"/>
    <w:rsid w:val="608E380B"/>
    <w:rsid w:val="611C601E"/>
    <w:rsid w:val="6294771D"/>
    <w:rsid w:val="62FC72F4"/>
    <w:rsid w:val="64E71822"/>
    <w:rsid w:val="64F54908"/>
    <w:rsid w:val="65C60013"/>
    <w:rsid w:val="660D5D4C"/>
    <w:rsid w:val="6652216A"/>
    <w:rsid w:val="6740089C"/>
    <w:rsid w:val="67FB48C8"/>
    <w:rsid w:val="69B437DB"/>
    <w:rsid w:val="6A403D9E"/>
    <w:rsid w:val="6A6D07DB"/>
    <w:rsid w:val="6B0B46EC"/>
    <w:rsid w:val="6B175310"/>
    <w:rsid w:val="6B496527"/>
    <w:rsid w:val="6C04723F"/>
    <w:rsid w:val="6C12061C"/>
    <w:rsid w:val="6D7D6023"/>
    <w:rsid w:val="6E1C51B4"/>
    <w:rsid w:val="6E772F53"/>
    <w:rsid w:val="6E934F22"/>
    <w:rsid w:val="6F763F1D"/>
    <w:rsid w:val="6F9334C5"/>
    <w:rsid w:val="6FC62FD9"/>
    <w:rsid w:val="6FFD220E"/>
    <w:rsid w:val="70182BA3"/>
    <w:rsid w:val="701F1B55"/>
    <w:rsid w:val="703200D6"/>
    <w:rsid w:val="70985403"/>
    <w:rsid w:val="712619AB"/>
    <w:rsid w:val="71892B6E"/>
    <w:rsid w:val="722927B6"/>
    <w:rsid w:val="72580D7B"/>
    <w:rsid w:val="728278E3"/>
    <w:rsid w:val="72C41543"/>
    <w:rsid w:val="748C7FDB"/>
    <w:rsid w:val="74E25E76"/>
    <w:rsid w:val="754A11DC"/>
    <w:rsid w:val="768A5E18"/>
    <w:rsid w:val="76D85677"/>
    <w:rsid w:val="76EE55AC"/>
    <w:rsid w:val="7757538C"/>
    <w:rsid w:val="77787A3D"/>
    <w:rsid w:val="78A9270F"/>
    <w:rsid w:val="79020895"/>
    <w:rsid w:val="7B670E83"/>
    <w:rsid w:val="7BFA2C25"/>
    <w:rsid w:val="7BFA65AA"/>
    <w:rsid w:val="7C8D388A"/>
    <w:rsid w:val="7D273A78"/>
    <w:rsid w:val="7D456D06"/>
    <w:rsid w:val="7E1F6674"/>
    <w:rsid w:val="7E3A1682"/>
    <w:rsid w:val="7E740687"/>
    <w:rsid w:val="7EFFA209"/>
    <w:rsid w:val="7F567244"/>
    <w:rsid w:val="7FF64583"/>
    <w:rsid w:val="7FFBF793"/>
    <w:rsid w:val="EF7FE4C2"/>
    <w:rsid w:val="FDFEFB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0"/>
    <w:rPr>
      <w:rFonts w:eastAsia="仿宋_GB2312"/>
      <w:sz w:val="32"/>
      <w:szCs w:val="22"/>
    </w:rPr>
  </w:style>
  <w:style w:type="paragraph" w:styleId="4">
    <w:name w:val="Normal Indent"/>
    <w:basedOn w:val="1"/>
    <w:unhideWhenUsed/>
    <w:qFormat/>
    <w:uiPriority w:val="99"/>
    <w:pPr>
      <w:ind w:firstLine="420" w:firstLineChars="200"/>
    </w:pPr>
  </w:style>
  <w:style w:type="paragraph" w:styleId="5">
    <w:name w:val="Body Text"/>
    <w:basedOn w:val="1"/>
    <w:next w:val="1"/>
    <w:qFormat/>
    <w:uiPriority w:val="0"/>
    <w:pPr>
      <w:spacing w:after="120"/>
    </w:pPr>
    <w:rPr>
      <w:rFonts w:ascii="Calibri" w:hAnsi="Calibri"/>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sz w:val="24"/>
    </w:rPr>
  </w:style>
  <w:style w:type="character" w:styleId="11">
    <w:name w:val="Strong"/>
    <w:basedOn w:val="10"/>
    <w:qFormat/>
    <w:uiPriority w:val="0"/>
    <w:rPr>
      <w:b/>
    </w:rPr>
  </w:style>
  <w:style w:type="character" w:customStyle="1" w:styleId="12">
    <w:name w:val="font31"/>
    <w:basedOn w:val="10"/>
    <w:qFormat/>
    <w:uiPriority w:val="0"/>
    <w:rPr>
      <w:rFonts w:hint="eastAsia" w:ascii="方正黑体简体" w:hAnsi="方正黑体简体" w:eastAsia="方正黑体简体" w:cs="方正黑体简体"/>
      <w:color w:val="000000"/>
      <w:sz w:val="21"/>
      <w:szCs w:val="21"/>
      <w:u w:val="none"/>
    </w:rPr>
  </w:style>
  <w:style w:type="paragraph" w:customStyle="1" w:styleId="13">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3032</Words>
  <Characters>3210</Characters>
  <Lines>524</Lines>
  <Paragraphs>147</Paragraphs>
  <TotalTime>360</TotalTime>
  <ScaleCrop>false</ScaleCrop>
  <LinksUpToDate>false</LinksUpToDate>
  <CharactersWithSpaces>3471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2023-03-24T09:01:00Z</dcterms:created>
  <dc:creator>Administrator</dc:creator>
  <cp:lastModifiedBy>MM</cp:lastModifiedBy>
  <cp:lastPrinted>2023-06-20T06:50:00Z</cp:lastPrinted>
  <dcterms:modified xsi:type="dcterms:W3CDTF">2025-09-19T02:22:17Z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AF9C0D195FE1428BB17C2FC131A5080D_13</vt:lpwstr>
  </property>
  <property fmtid="{D5CDD505-2E9C-101B-9397-08002B2CF9AE}" pid="4" name="KSOTemplateDocerSaveRecord">
    <vt:lpwstr>eyJoZGlkIjoiZjFmZjE2ZThkOGJlNDMyYzc1MDU1ZjY5ZjU0ZGJhZTIiLCJ1c2VySWQiOiIyNTM2NjkzNTAifQ==</vt:lpwstr>
  </property>
</Properties>
</file>